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hint="eastAsia" w:ascii="黑体" w:hAnsi="黑体" w:eastAsia="黑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</w:t>
      </w:r>
      <w:r>
        <w:rPr>
          <w:rFonts w:hint="eastAsia" w:ascii="黑体" w:hAnsi="黑体" w:eastAsia="黑体"/>
          <w:bCs/>
          <w:color w:val="000000"/>
          <w:sz w:val="36"/>
          <w:szCs w:val="36"/>
        </w:rPr>
        <w:t>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hint="eastAsia" w:ascii="黑体" w:hAnsi="黑体" w:eastAsia="黑体"/>
          <w:bCs/>
          <w:color w:val="000000"/>
          <w:sz w:val="36"/>
          <w:szCs w:val="36"/>
        </w:rPr>
      </w:pPr>
    </w:p>
    <w:tbl>
      <w:tblPr>
        <w:tblStyle w:val="13"/>
        <w:tblW w:w="93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848"/>
        <w:gridCol w:w="1559"/>
        <w:gridCol w:w="1905"/>
        <w:gridCol w:w="2631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 w14:paraId="7BA4F148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848" w:type="dxa"/>
          </w:tcPr>
          <w:p w14:paraId="01C95C88">
            <w:pPr>
              <w:widowControl/>
              <w:ind w:firstLine="280" w:firstLineChars="10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魏星辰</w:t>
            </w:r>
          </w:p>
        </w:tc>
        <w:tc>
          <w:tcPr>
            <w:tcW w:w="1559" w:type="dxa"/>
          </w:tcPr>
          <w:p w14:paraId="24EF8D2C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905" w:type="dxa"/>
          </w:tcPr>
          <w:p w14:paraId="15079A92">
            <w:pPr>
              <w:widowControl/>
              <w:ind w:firstLine="56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女</w:t>
            </w:r>
          </w:p>
        </w:tc>
        <w:tc>
          <w:tcPr>
            <w:tcW w:w="2631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hAnsi="黑体" w:eastAsia="黑体"/>
                <w:bCs/>
                <w:color w:val="000000"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-46355</wp:posOffset>
                  </wp:positionH>
                  <wp:positionV relativeFrom="paragraph">
                    <wp:posOffset>-12065</wp:posOffset>
                  </wp:positionV>
                  <wp:extent cx="1605280" cy="2200910"/>
                  <wp:effectExtent l="0" t="0" r="0" b="8890"/>
                  <wp:wrapNone/>
                  <wp:docPr id="25994102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941028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280" cy="220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证件照</w:t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18" w:type="dxa"/>
          </w:tcPr>
          <w:p w14:paraId="5F726A27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848" w:type="dxa"/>
          </w:tcPr>
          <w:p w14:paraId="435F4923">
            <w:pPr>
              <w:widowControl/>
              <w:ind w:firstLine="280" w:firstLineChars="10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汉族</w:t>
            </w:r>
          </w:p>
        </w:tc>
        <w:tc>
          <w:tcPr>
            <w:tcW w:w="1559" w:type="dxa"/>
          </w:tcPr>
          <w:p w14:paraId="39859DEE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905" w:type="dxa"/>
          </w:tcPr>
          <w:p w14:paraId="5608819C">
            <w:pPr>
              <w:widowControl/>
              <w:ind w:firstLine="0" w:firstLineChars="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中共预备党员</w:t>
            </w:r>
          </w:p>
        </w:tc>
        <w:tc>
          <w:tcPr>
            <w:tcW w:w="2631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 w14:paraId="42B24679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848" w:type="dxa"/>
          </w:tcPr>
          <w:p w14:paraId="4C4667FF">
            <w:pPr>
              <w:widowControl/>
              <w:ind w:firstLine="0" w:firstLineChars="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1559" w:type="dxa"/>
          </w:tcPr>
          <w:p w14:paraId="44108BE3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905" w:type="dxa"/>
          </w:tcPr>
          <w:p w14:paraId="49D34CAB">
            <w:pPr>
              <w:widowControl/>
              <w:ind w:firstLine="0" w:firstLineChars="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2005年7月</w:t>
            </w:r>
          </w:p>
        </w:tc>
        <w:tc>
          <w:tcPr>
            <w:tcW w:w="2631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 w14:paraId="1B4F711D">
            <w:pPr>
              <w:widowControl/>
              <w:ind w:firstLine="0" w:firstLineChars="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848" w:type="dxa"/>
          </w:tcPr>
          <w:p w14:paraId="51B31976">
            <w:pPr>
              <w:widowControl/>
              <w:ind w:firstLine="0" w:firstLineChars="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经济管理学院</w:t>
            </w:r>
          </w:p>
        </w:tc>
        <w:tc>
          <w:tcPr>
            <w:tcW w:w="1559" w:type="dxa"/>
          </w:tcPr>
          <w:p w14:paraId="5EE498FC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905" w:type="dxa"/>
          </w:tcPr>
          <w:p w14:paraId="02CDE294">
            <w:pPr>
              <w:widowControl/>
              <w:ind w:firstLine="0" w:firstLineChars="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2023级会计23-2班</w:t>
            </w:r>
          </w:p>
        </w:tc>
        <w:tc>
          <w:tcPr>
            <w:tcW w:w="2631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 w14:paraId="7BF7F938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848" w:type="dxa"/>
          </w:tcPr>
          <w:p w14:paraId="7320E2D6">
            <w:pPr>
              <w:widowControl/>
              <w:ind w:firstLine="0" w:firstLineChars="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AB1192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536" w:type="dxa"/>
            <w:gridSpan w:val="2"/>
          </w:tcPr>
          <w:p w14:paraId="70CDE22E">
            <w:pPr>
              <w:widowControl/>
              <w:ind w:firstLine="198" w:firstLineChars="71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18" w:type="dxa"/>
          </w:tcPr>
          <w:p w14:paraId="14A849FF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848" w:type="dxa"/>
          </w:tcPr>
          <w:p w14:paraId="172B7B54">
            <w:pPr>
              <w:widowControl/>
              <w:ind w:firstLine="0" w:firstLineChars="0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A270820">
            <w:pPr>
              <w:widowControl/>
              <w:ind w:firstLine="0" w:firstLineChars="0"/>
              <w:jc w:val="center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536" w:type="dxa"/>
            <w:gridSpan w:val="2"/>
          </w:tcPr>
          <w:p w14:paraId="466F9FD2">
            <w:pPr>
              <w:widowControl/>
              <w:ind w:firstLine="560"/>
              <w:jc w:val="left"/>
              <w:rPr>
                <w:rFonts w:hint="eastAsia" w:ascii="黑体" w:hAnsi="黑体" w:eastAsia="黑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1" w:type="dxa"/>
            <w:gridSpan w:val="5"/>
          </w:tcPr>
          <w:p w14:paraId="069BE133">
            <w:pPr>
              <w:widowControl/>
              <w:ind w:firstLine="0" w:firstLineChars="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事迹简介：</w:t>
            </w:r>
          </w:p>
          <w:p w14:paraId="251B26B0">
            <w:pPr>
              <w:widowControl/>
              <w:ind w:firstLine="0" w:firstLineChars="0"/>
              <w:jc w:val="left"/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一、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扎根乡土、探索绿色发展的先锋实践</w:t>
            </w:r>
          </w:p>
          <w:p w14:paraId="1DA7FA84">
            <w:pPr>
              <w:widowControl/>
              <w:ind w:firstLine="56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我深度参与了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乡村振兴与绿色转型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的全国性调研，足迹遍及浙江、福建两省6市8村，以专业视角剖析中国绿色发展的基层实践，成果获国家级媒体广泛报道与社会认可。</w:t>
            </w:r>
          </w:p>
          <w:p w14:paraId="1E4A5C7A">
            <w:pPr>
              <w:widowControl/>
              <w:ind w:firstLine="56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在平潭大坪村，深入调研“党建+绿色产业”融合模式，总结台湾乡村营造师带动有机农业、两岸文旅协作的经验，提出“特色农产品品牌化+电商助农” 方案，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助力解决农民增收瓶颈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。在安吉余村，零距离学习“两山理论”实践路径，分析其“零碳景区”技术应用（如AI节能建筑、光伏全覆盖），撰写报告提出“文化遗址绿色活化” 建议，被余村管委会采纳参考。在舟山新建村，聚焦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“净零碳乡村”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建设，总结其渔文化IP开发、低碳民宿改造经验，针对过度商业化隐患，提出“文化本源保护与商业分级管控” 策略，助力乡村文旅高质量发展。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主笔撰写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2万字《绿色乡村发展实践调研报告》，提出可发展性评估机制、特色资源产业化路径等创新方案，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获评第十六届全国大学生节能减排社会实践与科技竞赛三等奖。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同时，我的实践事迹被新华网、光明网、中国青年报等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十余家权威媒体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报道，传播绿色发展理念，影响超百万读者。</w:t>
            </w:r>
          </w:p>
          <w:p w14:paraId="25CA6699">
            <w:pPr>
              <w:widowControl/>
              <w:ind w:firstLine="56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此外，我深入能源与工业前沿，调研中广核海上风电项目，分析其“智慧运维+海洋牧场”融合模式，撰写技术降本建议，为清洁能源规模化应用提供案例支撑。走访华电漳平能源，总结传统火电企业向“热电联产+新能源”转型经验，提出煤电耦合绿氢的降碳路径。考察岙山国家石油储备基地，研究其绿色储油技术对国家能源安全的战略意义，成果纳入实践团政策建议库。</w:t>
            </w:r>
          </w:p>
          <w:p w14:paraId="1C979F58">
            <w:pPr>
              <w:widowControl/>
              <w:ind w:firstLine="0" w:firstLineChars="0"/>
              <w:jc w:val="left"/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二、专业扎实、追求卓越的学术表率</w:t>
            </w:r>
          </w:p>
          <w:p w14:paraId="7FC8AA56">
            <w:pPr>
              <w:widowControl/>
              <w:ind w:firstLine="56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学业排名：综测成绩位列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专业前15%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，课程优良率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90%以上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，并获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校级二等奖学金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。班级内担任班长，社团内担任竞赛部部长，获评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优秀学生干部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和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优秀团员称号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。</w:t>
            </w:r>
          </w:p>
          <w:p w14:paraId="4A9D961D">
            <w:pPr>
              <w:widowControl/>
              <w:ind w:firstLine="0" w:firstLineChars="0"/>
              <w:jc w:val="left"/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三、践行责任、服务社会的青年担当</w:t>
            </w:r>
          </w:p>
          <w:p w14:paraId="1A94A2BD">
            <w:pPr>
              <w:widowControl/>
              <w:ind w:firstLine="280" w:firstLineChars="10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志愿服务：累计服务时长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130＋小时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，服务北京半程马拉松、CBA联赛、全国职业规划大赛等大型赛事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20余次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。</w:t>
            </w:r>
          </w:p>
          <w:p w14:paraId="0BBEA893">
            <w:pPr>
              <w:widowControl/>
              <w:ind w:firstLine="56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我以“</w:t>
            </w:r>
            <w:r>
              <w:rPr>
                <w:rFonts w:hint="eastAsia" w:asciiTheme="minorHAnsi" w:hAnsiTheme="minorHAnsi" w:eastAsiaTheme="minorHAnsi"/>
                <w:b/>
                <w:color w:val="000000"/>
                <w:sz w:val="28"/>
                <w:szCs w:val="28"/>
              </w:rPr>
              <w:t>以青年之力，筑强国之基</w:t>
            </w: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”的初心申请剑南春强国青年助学金，</w:t>
            </w:r>
          </w:p>
          <w:p w14:paraId="6707D185">
            <w:pPr>
              <w:widowControl/>
              <w:ind w:firstLine="0" w:firstLineChars="0"/>
              <w:jc w:val="left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  <w:r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  <w:t>未来我将继续努力，保持优异学习成绩的同时，积极参与社会服务，扎根能源低碳转型研究，投身乡村振兴建设，助力乡村零碳化进程——这份信念，与“剑南春强国青年助学金”支持青年投身国家战略的宗旨高度契合。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hint="eastAsia" w:asciiTheme="minorHAnsi" w:hAnsiTheme="minorHAnsi" w:eastAsiaTheme="minorHAnsi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361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222EA5"/>
    <w:rsid w:val="004F6EB2"/>
    <w:rsid w:val="00514C96"/>
    <w:rsid w:val="00601212"/>
    <w:rsid w:val="006E212A"/>
    <w:rsid w:val="0074147F"/>
    <w:rsid w:val="009936C5"/>
    <w:rsid w:val="009E747C"/>
    <w:rsid w:val="00DD1735"/>
    <w:rsid w:val="00FB3E6A"/>
    <w:rsid w:val="60E1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1022</Words>
  <Characters>1102</Characters>
  <Lines>8</Lines>
  <Paragraphs>2</Paragraphs>
  <TotalTime>25</TotalTime>
  <ScaleCrop>false</ScaleCrop>
  <LinksUpToDate>false</LinksUpToDate>
  <CharactersWithSpaces>1117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2025-06-23T03:30:21Z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E196C2F6AD744A06824F996286A3F28E_12</vt:lpwstr>
  </property>
</Properties>
</file>